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462" w:type="dxa"/>
        <w:tblLayout w:type="fixed"/>
        <w:tblLook w:val="04A0" w:firstRow="1" w:lastRow="0" w:firstColumn="1" w:lastColumn="0" w:noHBand="0" w:noVBand="1"/>
      </w:tblPr>
      <w:tblGrid>
        <w:gridCol w:w="4644"/>
        <w:gridCol w:w="4818"/>
      </w:tblGrid>
      <w:tr w:rsidR="000C5249" w:rsidTr="00B065B3">
        <w:trPr>
          <w:trHeight w:val="263"/>
        </w:trPr>
        <w:tc>
          <w:tcPr>
            <w:tcW w:w="4644" w:type="dxa"/>
          </w:tcPr>
          <w:p w:rsidR="000C5249" w:rsidRPr="000C5249" w:rsidRDefault="000C5249" w:rsidP="000C5249">
            <w:pPr>
              <w:jc w:val="center"/>
              <w:rPr>
                <w:rFonts w:ascii="Comic Sans MS" w:hAnsi="Comic Sans MS"/>
                <w:b/>
              </w:rPr>
            </w:pPr>
            <w:r w:rsidRPr="000C5249">
              <w:rPr>
                <w:rFonts w:ascii="Comic Sans MS" w:hAnsi="Comic Sans MS"/>
                <w:b/>
              </w:rPr>
              <w:t>MODELO CASCADA</w:t>
            </w:r>
          </w:p>
        </w:tc>
        <w:tc>
          <w:tcPr>
            <w:tcW w:w="4818" w:type="dxa"/>
          </w:tcPr>
          <w:p w:rsidR="000C5249" w:rsidRPr="000C5249" w:rsidRDefault="000C5249" w:rsidP="000C5249">
            <w:pPr>
              <w:jc w:val="center"/>
              <w:rPr>
                <w:rFonts w:ascii="Comic Sans MS" w:hAnsi="Comic Sans MS"/>
                <w:b/>
              </w:rPr>
            </w:pPr>
            <w:r w:rsidRPr="000C5249">
              <w:rPr>
                <w:rFonts w:ascii="Comic Sans MS" w:hAnsi="Comic Sans MS"/>
                <w:b/>
              </w:rPr>
              <w:t>MODELO INCREMENTAL</w:t>
            </w:r>
          </w:p>
        </w:tc>
      </w:tr>
      <w:tr w:rsidR="000C5249" w:rsidTr="00B065B3">
        <w:trPr>
          <w:trHeight w:val="6043"/>
        </w:trPr>
        <w:tc>
          <w:tcPr>
            <w:tcW w:w="4644" w:type="dxa"/>
          </w:tcPr>
          <w:p w:rsidR="000C5249" w:rsidRDefault="000C5249" w:rsidP="00D85599">
            <w:pPr>
              <w:rPr>
                <w:rFonts w:ascii="Comic Sans MS" w:hAnsi="Comic Sans MS"/>
              </w:rPr>
            </w:pPr>
            <w:r w:rsidRPr="000C5249">
              <w:rPr>
                <w:rFonts w:ascii="Comic Sans MS" w:hAnsi="Comic Sans MS"/>
              </w:rPr>
              <w:t>Es el enfoque metodológico que ordena rigurosamente las etapas del proceso para el desarrollo de software, de tal forma que el inicio de cada etapa debe esperar a la finalización de la etapa anterior.</w:t>
            </w:r>
          </w:p>
          <w:p w:rsidR="00B065B3" w:rsidRPr="000C5249" w:rsidRDefault="00B065B3" w:rsidP="00D85599">
            <w:pPr>
              <w:rPr>
                <w:rFonts w:ascii="Comic Sans MS" w:hAnsi="Comic Sans MS"/>
              </w:rPr>
            </w:pPr>
          </w:p>
          <w:p w:rsidR="000C5249" w:rsidRPr="000C5249" w:rsidRDefault="000C5249" w:rsidP="00D85599">
            <w:pPr>
              <w:rPr>
                <w:rFonts w:ascii="Comic Sans MS" w:hAnsi="Comic Sans MS"/>
              </w:rPr>
            </w:pPr>
            <w:r w:rsidRPr="000C5249">
              <w:rPr>
                <w:rFonts w:ascii="Comic Sans MS" w:hAnsi="Comic Sans MS"/>
                <w:noProof/>
              </w:rPr>
              <w:drawing>
                <wp:inline distT="0" distB="0" distL="0" distR="0">
                  <wp:extent cx="2792599" cy="2190750"/>
                  <wp:effectExtent l="0" t="0" r="7751" b="0"/>
                  <wp:docPr id="7" name="Imagen 1" descr="http://4.bp.blogspot.com/_psAq9gFP8jk/SwY64HO3iOI/AAAAAAAAAFM/vFFEnDLSiRE/s1600/modelo-en-casc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psAq9gFP8jk/SwY64HO3iOI/AAAAAAAAAFM/vFFEnDLSiRE/s1600/modelo-en-cascada.png"/>
                          <pic:cNvPicPr>
                            <a:picLocks noChangeAspect="1" noChangeArrowheads="1"/>
                          </pic:cNvPicPr>
                        </pic:nvPicPr>
                        <pic:blipFill>
                          <a:blip r:embed="rId6"/>
                          <a:srcRect/>
                          <a:stretch>
                            <a:fillRect/>
                          </a:stretch>
                        </pic:blipFill>
                        <pic:spPr bwMode="auto">
                          <a:xfrm>
                            <a:off x="0" y="0"/>
                            <a:ext cx="2793566" cy="2191508"/>
                          </a:xfrm>
                          <a:prstGeom prst="rect">
                            <a:avLst/>
                          </a:prstGeom>
                          <a:noFill/>
                          <a:ln w="9525">
                            <a:noFill/>
                            <a:miter lim="800000"/>
                            <a:headEnd/>
                            <a:tailEnd/>
                          </a:ln>
                        </pic:spPr>
                      </pic:pic>
                    </a:graphicData>
                  </a:graphic>
                </wp:inline>
              </w:drawing>
            </w:r>
          </w:p>
          <w:p w:rsidR="000C5249" w:rsidRPr="000C5249" w:rsidRDefault="000C5249" w:rsidP="00D85599">
            <w:pPr>
              <w:rPr>
                <w:rFonts w:ascii="Comic Sans MS" w:hAnsi="Comic Sans MS"/>
              </w:rPr>
            </w:pPr>
          </w:p>
        </w:tc>
        <w:tc>
          <w:tcPr>
            <w:tcW w:w="4818" w:type="dxa"/>
          </w:tcPr>
          <w:p w:rsidR="000C5249" w:rsidRPr="00B065B3" w:rsidRDefault="00B065B3">
            <w:pPr>
              <w:rPr>
                <w:rFonts w:ascii="Comic Sans MS" w:hAnsi="Comic Sans MS"/>
              </w:rPr>
            </w:pPr>
            <w:r w:rsidRPr="00B065B3">
              <w:rPr>
                <w:rFonts w:ascii="Comic Sans MS" w:hAnsi="Comic Sans MS"/>
              </w:rPr>
              <w:t>Utiliza el principio de trabajo en cadena, utilizado en muchas otras formas de programación. Con este se mantiene al cliente en constante contacto con los resultados obtenidos en cada  incremento.</w:t>
            </w:r>
            <w:r w:rsidRPr="00B065B3">
              <w:rPr>
                <w:rFonts w:ascii="Comic Sans MS" w:hAnsi="Comic Sans MS"/>
              </w:rPr>
              <w:br/>
              <w:t>En una visión genérica el proceso se divide en 4 partes:</w:t>
            </w:r>
            <w:r w:rsidRPr="00B065B3">
              <w:rPr>
                <w:rFonts w:ascii="Comic Sans MS" w:hAnsi="Comic Sans MS"/>
              </w:rPr>
              <w:br/>
              <w:t>*Análisis</w:t>
            </w:r>
            <w:r w:rsidRPr="00B065B3">
              <w:rPr>
                <w:rFonts w:ascii="Comic Sans MS" w:hAnsi="Comic Sans MS"/>
              </w:rPr>
              <w:br/>
              <w:t>*Diseño</w:t>
            </w:r>
            <w:r w:rsidRPr="00B065B3">
              <w:rPr>
                <w:rFonts w:ascii="Comic Sans MS" w:hAnsi="Comic Sans MS"/>
              </w:rPr>
              <w:br/>
              <w:t>*Código</w:t>
            </w:r>
            <w:r w:rsidRPr="00B065B3">
              <w:rPr>
                <w:rFonts w:ascii="Comic Sans MS" w:hAnsi="Comic Sans MS"/>
              </w:rPr>
              <w:br/>
              <w:t>*Prueba</w:t>
            </w:r>
            <w:r>
              <w:rPr>
                <w:rFonts w:ascii="Comic Sans MS" w:hAnsi="Comic Sans MS"/>
              </w:rPr>
              <w:br/>
            </w:r>
            <w:r>
              <w:rPr>
                <w:noProof/>
              </w:rPr>
              <w:drawing>
                <wp:inline distT="0" distB="0" distL="0" distR="0">
                  <wp:extent cx="2943225" cy="1673406"/>
                  <wp:effectExtent l="19050" t="0" r="9525" b="0"/>
                  <wp:docPr id="8" name="Imagen 4" descr="http://osc.co.cr/wp-content/uploads/2011/06/increment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sc.co.cr/wp-content/uploads/2011/06/incremental.jpeg"/>
                          <pic:cNvPicPr>
                            <a:picLocks noChangeAspect="1" noChangeArrowheads="1"/>
                          </pic:cNvPicPr>
                        </pic:nvPicPr>
                        <pic:blipFill>
                          <a:blip r:embed="rId7"/>
                          <a:srcRect/>
                          <a:stretch>
                            <a:fillRect/>
                          </a:stretch>
                        </pic:blipFill>
                        <pic:spPr bwMode="auto">
                          <a:xfrm>
                            <a:off x="0" y="0"/>
                            <a:ext cx="2943225" cy="1673406"/>
                          </a:xfrm>
                          <a:prstGeom prst="rect">
                            <a:avLst/>
                          </a:prstGeom>
                          <a:noFill/>
                          <a:ln w="9525">
                            <a:noFill/>
                            <a:miter lim="800000"/>
                            <a:headEnd/>
                            <a:tailEnd/>
                          </a:ln>
                        </pic:spPr>
                      </pic:pic>
                    </a:graphicData>
                  </a:graphic>
                </wp:inline>
              </w:drawing>
            </w:r>
          </w:p>
        </w:tc>
      </w:tr>
      <w:tr w:rsidR="000C5249" w:rsidTr="00B065B3">
        <w:trPr>
          <w:trHeight w:val="249"/>
        </w:trPr>
        <w:tc>
          <w:tcPr>
            <w:tcW w:w="4644" w:type="dxa"/>
          </w:tcPr>
          <w:p w:rsidR="000C5249" w:rsidRPr="000C5249" w:rsidRDefault="000C5249" w:rsidP="000C5249">
            <w:pPr>
              <w:jc w:val="center"/>
              <w:rPr>
                <w:rFonts w:ascii="Comic Sans MS" w:hAnsi="Comic Sans MS"/>
                <w:b/>
              </w:rPr>
            </w:pPr>
            <w:r w:rsidRPr="000C5249">
              <w:rPr>
                <w:rFonts w:ascii="Comic Sans MS" w:hAnsi="Comic Sans MS"/>
                <w:b/>
              </w:rPr>
              <w:t>MODELO V</w:t>
            </w:r>
          </w:p>
        </w:tc>
        <w:tc>
          <w:tcPr>
            <w:tcW w:w="4818" w:type="dxa"/>
          </w:tcPr>
          <w:p w:rsidR="000C5249" w:rsidRPr="000C5249" w:rsidRDefault="000C5249" w:rsidP="000C5249">
            <w:pPr>
              <w:jc w:val="center"/>
              <w:rPr>
                <w:rFonts w:ascii="Comic Sans MS" w:hAnsi="Comic Sans MS"/>
                <w:b/>
              </w:rPr>
            </w:pPr>
            <w:r w:rsidRPr="000C5249">
              <w:rPr>
                <w:rFonts w:ascii="Comic Sans MS" w:hAnsi="Comic Sans MS"/>
                <w:b/>
              </w:rPr>
              <w:t>MODELO SASHIMI</w:t>
            </w:r>
          </w:p>
        </w:tc>
      </w:tr>
      <w:tr w:rsidR="000C5249" w:rsidTr="00B065B3">
        <w:trPr>
          <w:trHeight w:val="5930"/>
        </w:trPr>
        <w:tc>
          <w:tcPr>
            <w:tcW w:w="4644" w:type="dxa"/>
          </w:tcPr>
          <w:p w:rsidR="00B065B3" w:rsidRDefault="00B065B3" w:rsidP="00B065B3">
            <w:pPr>
              <w:rPr>
                <w:rFonts w:ascii="Comic Sans MS" w:hAnsi="Comic Sans MS"/>
              </w:rPr>
            </w:pPr>
            <w:r w:rsidRPr="00B065B3">
              <w:rPr>
                <w:rFonts w:ascii="Comic Sans MS" w:hAnsi="Comic Sans MS"/>
              </w:rPr>
              <w:t>Es una representación gráfica del ciclo de vida del desarrollo de sistemas. En él se resumen las principales medidas que deben adoptarse en relación con las prestaciones correspondientes en el marco del sis</w:t>
            </w:r>
            <w:r>
              <w:rPr>
                <w:rFonts w:ascii="Comic Sans MS" w:hAnsi="Comic Sans MS"/>
              </w:rPr>
              <w:t xml:space="preserve">tema informático de validación. </w:t>
            </w:r>
            <w:r w:rsidRPr="00B065B3">
              <w:rPr>
                <w:rFonts w:ascii="Comic Sans MS" w:hAnsi="Comic Sans MS"/>
              </w:rPr>
              <w:t>Es un proceso que representa la secuencia de pasos en el desarrollo del ciclo de vida de un proyecto.</w:t>
            </w:r>
          </w:p>
          <w:p w:rsidR="000C5249" w:rsidRPr="00B065B3" w:rsidRDefault="00B065B3" w:rsidP="00B065B3">
            <w:pPr>
              <w:jc w:val="center"/>
              <w:rPr>
                <w:rFonts w:ascii="Comic Sans MS" w:hAnsi="Comic Sans MS"/>
              </w:rPr>
            </w:pPr>
            <w:r>
              <w:rPr>
                <w:rFonts w:ascii="Comic Sans MS" w:hAnsi="Comic Sans MS"/>
              </w:rPr>
              <w:br/>
            </w:r>
            <w:r>
              <w:rPr>
                <w:noProof/>
              </w:rPr>
              <w:drawing>
                <wp:inline distT="0" distB="0" distL="0" distR="0">
                  <wp:extent cx="2352675" cy="1875064"/>
                  <wp:effectExtent l="19050" t="0" r="9525" b="0"/>
                  <wp:docPr id="9" name="Imagen 7" descr="http://static.commentcamarche.net/es.kioskea.net/pictures/genie-logiciel-images-cycle-vi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commentcamarche.net/es.kioskea.net/pictures/genie-logiciel-images-cycle-vie-v.png"/>
                          <pic:cNvPicPr>
                            <a:picLocks noChangeAspect="1" noChangeArrowheads="1"/>
                          </pic:cNvPicPr>
                        </pic:nvPicPr>
                        <pic:blipFill>
                          <a:blip r:embed="rId8"/>
                          <a:srcRect/>
                          <a:stretch>
                            <a:fillRect/>
                          </a:stretch>
                        </pic:blipFill>
                        <pic:spPr bwMode="auto">
                          <a:xfrm>
                            <a:off x="0" y="0"/>
                            <a:ext cx="2352675" cy="1875064"/>
                          </a:xfrm>
                          <a:prstGeom prst="rect">
                            <a:avLst/>
                          </a:prstGeom>
                          <a:noFill/>
                          <a:ln w="9525">
                            <a:noFill/>
                            <a:miter lim="800000"/>
                            <a:headEnd/>
                            <a:tailEnd/>
                          </a:ln>
                        </pic:spPr>
                      </pic:pic>
                    </a:graphicData>
                  </a:graphic>
                </wp:inline>
              </w:drawing>
            </w:r>
          </w:p>
        </w:tc>
        <w:tc>
          <w:tcPr>
            <w:tcW w:w="4818" w:type="dxa"/>
          </w:tcPr>
          <w:p w:rsidR="00B065B3" w:rsidRDefault="00B065B3">
            <w:pPr>
              <w:rPr>
                <w:rFonts w:ascii="Comic Sans MS" w:hAnsi="Comic Sans MS"/>
              </w:rPr>
            </w:pPr>
            <w:r>
              <w:rPr>
                <w:rFonts w:ascii="Comic Sans MS" w:hAnsi="Comic Sans MS"/>
              </w:rPr>
              <w:t>El nombre “sashimi”</w:t>
            </w:r>
            <w:r w:rsidRPr="00B065B3">
              <w:rPr>
                <w:rFonts w:ascii="Comic Sans MS" w:hAnsi="Comic Sans MS"/>
              </w:rPr>
              <w:t xml:space="preserve"> deriva del modo del estilo de presentación de rodajas de pescado crudo en Japón. Una ventaja de este modelo es que no necesita generar tanta documentación como el ciclo de vida en cascada puro debido a la continuidad del mismo personal entre fases.</w:t>
            </w:r>
          </w:p>
          <w:p w:rsidR="000C5249" w:rsidRPr="00B065B3" w:rsidRDefault="00B065B3" w:rsidP="00B065B3">
            <w:pPr>
              <w:jc w:val="center"/>
              <w:rPr>
                <w:rFonts w:ascii="Comic Sans MS" w:hAnsi="Comic Sans MS"/>
              </w:rPr>
            </w:pPr>
            <w:r>
              <w:rPr>
                <w:rFonts w:ascii="Comic Sans MS" w:hAnsi="Comic Sans MS"/>
              </w:rPr>
              <w:br/>
              <w:t xml:space="preserve">    </w:t>
            </w:r>
            <w:r>
              <w:rPr>
                <w:noProof/>
              </w:rPr>
              <w:drawing>
                <wp:inline distT="0" distB="0" distL="0" distR="0">
                  <wp:extent cx="2581275" cy="1866590"/>
                  <wp:effectExtent l="19050" t="0" r="9525" b="0"/>
                  <wp:docPr id="10" name="Imagen 10" descr="http://farm5.staticflickr.com/4028/4433777015_2687ff48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rm5.staticflickr.com/4028/4433777015_2687ff48e8.jpg"/>
                          <pic:cNvPicPr>
                            <a:picLocks noChangeAspect="1" noChangeArrowheads="1"/>
                          </pic:cNvPicPr>
                        </pic:nvPicPr>
                        <pic:blipFill>
                          <a:blip r:embed="rId9"/>
                          <a:srcRect b="8264"/>
                          <a:stretch>
                            <a:fillRect/>
                          </a:stretch>
                        </pic:blipFill>
                        <pic:spPr bwMode="auto">
                          <a:xfrm>
                            <a:off x="0" y="0"/>
                            <a:ext cx="2581275" cy="1866590"/>
                          </a:xfrm>
                          <a:prstGeom prst="rect">
                            <a:avLst/>
                          </a:prstGeom>
                          <a:noFill/>
                          <a:ln w="9525">
                            <a:noFill/>
                            <a:miter lim="800000"/>
                            <a:headEnd/>
                            <a:tailEnd/>
                          </a:ln>
                        </pic:spPr>
                      </pic:pic>
                    </a:graphicData>
                  </a:graphic>
                </wp:inline>
              </w:drawing>
            </w:r>
          </w:p>
        </w:tc>
      </w:tr>
    </w:tbl>
    <w:p w:rsidR="00857253" w:rsidRDefault="00E34797">
      <w:r>
        <w:t>Jesica MACHADO</w:t>
      </w:r>
    </w:p>
    <w:p w:rsidR="00E34797" w:rsidRDefault="00E34797">
      <w:bookmarkStart w:id="0" w:name="_GoBack"/>
      <w:bookmarkEnd w:id="0"/>
    </w:p>
    <w:sectPr w:rsidR="00E34797" w:rsidSect="008572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249"/>
    <w:rsid w:val="000C5249"/>
    <w:rsid w:val="00857253"/>
    <w:rsid w:val="00B065B3"/>
    <w:rsid w:val="00E347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2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C52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C52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C52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52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680944">
      <w:bodyDiv w:val="1"/>
      <w:marLeft w:val="0"/>
      <w:marRight w:val="0"/>
      <w:marTop w:val="0"/>
      <w:marBottom w:val="0"/>
      <w:divBdr>
        <w:top w:val="none" w:sz="0" w:space="0" w:color="auto"/>
        <w:left w:val="none" w:sz="0" w:space="0" w:color="auto"/>
        <w:bottom w:val="none" w:sz="0" w:space="0" w:color="auto"/>
        <w:right w:val="none" w:sz="0" w:space="0" w:color="auto"/>
      </w:divBdr>
    </w:div>
    <w:div w:id="100925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ABCD-39BF-43DC-82D2-355AD7B7E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1009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DOCENTE</cp:lastModifiedBy>
  <cp:revision>2</cp:revision>
  <dcterms:created xsi:type="dcterms:W3CDTF">2014-03-04T13:18:00Z</dcterms:created>
  <dcterms:modified xsi:type="dcterms:W3CDTF">2014-03-04T13:18:00Z</dcterms:modified>
</cp:coreProperties>
</file>